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4327" w:type="dxa"/>
        <w:tblLook w:val="04A0" w:firstRow="1" w:lastRow="0" w:firstColumn="1" w:lastColumn="0" w:noHBand="0" w:noVBand="1"/>
      </w:tblPr>
      <w:tblGrid>
        <w:gridCol w:w="4018"/>
        <w:gridCol w:w="10309"/>
      </w:tblGrid>
      <w:tr>
        <w:trPr>
          <w:trHeight w:val="285"/>
        </w:trPr>
        <w:tc>
          <w:tcPr>
            <w:gridSpan w:val="2"/>
            <w:tcW w:w="14327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L’enseignant, praticien réflexif</w:t>
            </w:r>
            <w: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t xml:space="preserve">Capacité à se former</w:t>
            </w:r>
            <w:r/>
          </w:p>
        </w:tc>
      </w:tr>
      <w:tr>
        <w:trPr>
          <w:trHeight w:val="285"/>
        </w:trPr>
        <w:tc>
          <w:tcPr>
            <w:tcW w:w="4018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Attendu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/>
          </w:p>
        </w:tc>
        <w:tc>
          <w:tcPr>
            <w:tcW w:w="10309" w:type="dxa"/>
            <w:textDirection w:val="lrTb"/>
            <w:noWrap w:val="false"/>
          </w:tcPr>
          <w:p>
            <w:r>
              <w:t xml:space="preserve">Observables en situation de classe</w:t>
            </w:r>
            <w:r/>
          </w:p>
        </w:tc>
      </w:tr>
      <w:tr>
        <w:trPr>
          <w:trHeight w:val="4272"/>
        </w:trPr>
        <w:tc>
          <w:tcPr>
            <w:tcW w:w="4018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BF8F00" w:themeColor="accent4" w:themeShade="BF"/>
                <w:szCs w:val="18"/>
              </w:rPr>
              <w:t xml:space="preserve">22. </w:t>
            </w:r>
            <w:r>
              <w:rPr>
                <w:rFonts w:ascii="Calibri Light" w:hAnsi="Calibri Light" w:cs="Calibri Light"/>
                <w:color w:val="BF8F00" w:themeColor="accent4" w:themeShade="BF"/>
                <w:szCs w:val="18"/>
              </w:rPr>
              <w:t xml:space="preserve">  </w:t>
            </w:r>
            <w:r>
              <w:rPr>
                <w:rFonts w:ascii="Calibri Light" w:hAnsi="Calibri Light" w:cs="Calibri Light"/>
                <w:b/>
                <w:color w:val="BF8F00" w:themeColor="accent4" w:themeShade="BF"/>
                <w:szCs w:val="18"/>
              </w:rPr>
              <w:t xml:space="preserve">Formule</w:t>
            </w:r>
            <w:r>
              <w:rPr>
                <w:rFonts w:ascii="Calibri Light" w:hAnsi="Calibri Light" w:cs="Calibri Light"/>
                <w:color w:val="BF8F00" w:themeColor="accent4" w:themeShade="BF"/>
                <w:szCs w:val="18"/>
              </w:rPr>
              <w:t xml:space="preserve"> ses besoins de formation pour actualiser ses savoirs, conforter ou faire évoluer ses pratiques</w:t>
            </w:r>
            <w:bookmarkStart w:id="0" w:name="_GoBack"/>
            <w:r/>
            <w:bookmarkEnd w:id="0"/>
            <w:r/>
            <w:r/>
          </w:p>
        </w:tc>
        <w:tc>
          <w:tcPr>
            <w:tcW w:w="10309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>
          <w:trHeight w:val="4282"/>
        </w:trPr>
        <w:tc>
          <w:tcPr>
            <w:tcW w:w="4018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color w:val="FF66CC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BF8F00" w:themeColor="accent4" w:themeShade="BF"/>
                <w:szCs w:val="18"/>
              </w:rPr>
              <w:t xml:space="preserve">23. </w:t>
            </w:r>
            <w:r>
              <w:rPr>
                <w:rFonts w:ascii="Calibri Light" w:hAnsi="Calibri Light" w:cs="Calibri Light"/>
                <w:b/>
                <w:color w:val="BF8F00" w:themeColor="accent4" w:themeShade="BF"/>
                <w:szCs w:val="18"/>
              </w:rPr>
              <w:t xml:space="preserve">Prend en compte</w:t>
            </w:r>
            <w:r>
              <w:rPr>
                <w:rFonts w:ascii="Calibri Light" w:hAnsi="Calibri Light" w:cs="Calibri Light"/>
                <w:color w:val="BF8F00" w:themeColor="accent4" w:themeShade="BF"/>
                <w:szCs w:val="18"/>
              </w:rPr>
              <w:t xml:space="preserve"> les conseils ou recommandations qui lui sont donnés (auto-positionnement, entretiens)</w:t>
            </w:r>
            <w:r/>
          </w:p>
        </w:tc>
        <w:tc>
          <w:tcPr>
            <w:tcW w:w="10309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Baleine</dc:creator>
  <cp:keywords/>
  <dc:description/>
  <cp:lastModifiedBy>Rozenn NEDELEC (rozenn.nedelec@inspe-bretagne.fr)</cp:lastModifiedBy>
  <cp:revision>4</cp:revision>
  <dcterms:created xsi:type="dcterms:W3CDTF">2022-10-08T13:06:00Z</dcterms:created>
  <dcterms:modified xsi:type="dcterms:W3CDTF">2022-10-27T10:23:17Z</dcterms:modified>
</cp:coreProperties>
</file>